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00" w:rsidRDefault="007F2D00" w:rsidP="007F2D0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2540</wp:posOffset>
            </wp:positionV>
            <wp:extent cx="720090" cy="923925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00" w:rsidRDefault="007F2D00" w:rsidP="007F2D00"/>
    <w:p w:rsidR="007F2D00" w:rsidRDefault="007F2D00" w:rsidP="007F2D00"/>
    <w:p w:rsidR="007F2D00" w:rsidRDefault="007F2D00" w:rsidP="007F2D00"/>
    <w:p w:rsidR="007F2D00" w:rsidRDefault="007F2D00" w:rsidP="007F2D00"/>
    <w:p w:rsidR="007F2D00" w:rsidRDefault="007F2D00" w:rsidP="007F2D00">
      <w:pPr>
        <w:jc w:val="center"/>
        <w:outlineLvl w:val="0"/>
        <w:rPr>
          <w:b/>
          <w:szCs w:val="28"/>
        </w:rPr>
      </w:pPr>
    </w:p>
    <w:p w:rsidR="007F2D00" w:rsidRPr="00DA7FA4" w:rsidRDefault="007F2D00" w:rsidP="007F2D00">
      <w:pPr>
        <w:spacing w:line="720" w:lineRule="auto"/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Администрация городского поселения «Борзинское»</w:t>
      </w:r>
    </w:p>
    <w:p w:rsidR="007F2D00" w:rsidRPr="00DA7FA4" w:rsidRDefault="007F2D00" w:rsidP="007F2D00">
      <w:pPr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РАСПОРЯЖЕНИЕ</w:t>
      </w:r>
    </w:p>
    <w:p w:rsidR="007F2D00" w:rsidRPr="00DA7FA4" w:rsidRDefault="007F2D00" w:rsidP="007F2D00">
      <w:pPr>
        <w:jc w:val="center"/>
        <w:outlineLvl w:val="0"/>
        <w:rPr>
          <w:b/>
          <w:szCs w:val="28"/>
        </w:rPr>
      </w:pPr>
    </w:p>
    <w:p w:rsidR="007F2D00" w:rsidRPr="00DA7FA4" w:rsidRDefault="007F2D00" w:rsidP="007F2D00">
      <w:pPr>
        <w:jc w:val="both"/>
        <w:rPr>
          <w:szCs w:val="28"/>
        </w:rPr>
      </w:pPr>
      <w:r>
        <w:rPr>
          <w:szCs w:val="28"/>
        </w:rPr>
        <w:t>«</w:t>
      </w:r>
      <w:r w:rsidR="00C030BF">
        <w:rPr>
          <w:szCs w:val="28"/>
        </w:rPr>
        <w:t>12</w:t>
      </w:r>
      <w:r w:rsidRPr="00DA7FA4">
        <w:rPr>
          <w:szCs w:val="28"/>
        </w:rPr>
        <w:t xml:space="preserve">» </w:t>
      </w:r>
      <w:r w:rsidR="00C030BF">
        <w:rPr>
          <w:szCs w:val="28"/>
        </w:rPr>
        <w:t>июля</w:t>
      </w:r>
      <w:r w:rsidRPr="00DA7FA4">
        <w:rPr>
          <w:szCs w:val="28"/>
        </w:rPr>
        <w:t xml:space="preserve"> 20</w:t>
      </w:r>
      <w:r>
        <w:rPr>
          <w:szCs w:val="28"/>
        </w:rPr>
        <w:t>21</w:t>
      </w:r>
      <w:r w:rsidRPr="00DA7FA4">
        <w:rPr>
          <w:szCs w:val="28"/>
        </w:rPr>
        <w:t xml:space="preserve"> г.                                                                   № </w:t>
      </w:r>
      <w:r w:rsidR="00C030BF">
        <w:rPr>
          <w:szCs w:val="28"/>
        </w:rPr>
        <w:t>317-р</w:t>
      </w:r>
    </w:p>
    <w:p w:rsidR="007F2D00" w:rsidRPr="00DA7FA4" w:rsidRDefault="007F2D00" w:rsidP="007F2D00">
      <w:pPr>
        <w:jc w:val="center"/>
        <w:rPr>
          <w:b/>
          <w:szCs w:val="28"/>
        </w:rPr>
      </w:pPr>
    </w:p>
    <w:p w:rsidR="007F2D00" w:rsidRPr="00DA7FA4" w:rsidRDefault="007F2D00" w:rsidP="007F2D00">
      <w:pPr>
        <w:jc w:val="center"/>
        <w:rPr>
          <w:b/>
          <w:szCs w:val="28"/>
        </w:rPr>
      </w:pPr>
      <w:r w:rsidRPr="00DA7FA4">
        <w:rPr>
          <w:b/>
          <w:szCs w:val="28"/>
        </w:rPr>
        <w:t>город Борзя</w:t>
      </w:r>
    </w:p>
    <w:p w:rsidR="007F2D00" w:rsidRPr="00DA7FA4" w:rsidRDefault="007F2D00" w:rsidP="007F2D00">
      <w:pPr>
        <w:jc w:val="center"/>
        <w:rPr>
          <w:b/>
          <w:szCs w:val="28"/>
        </w:rPr>
      </w:pPr>
    </w:p>
    <w:p w:rsidR="007F2D00" w:rsidRPr="00DA7FA4" w:rsidRDefault="007F2D00" w:rsidP="007F2D00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A7FA4">
        <w:rPr>
          <w:b/>
          <w:szCs w:val="28"/>
        </w:rPr>
        <w:t xml:space="preserve">б утверждении </w:t>
      </w:r>
      <w:r>
        <w:rPr>
          <w:b/>
          <w:szCs w:val="28"/>
        </w:rPr>
        <w:t>прогноза социально-экономического развития городского поселения «Борзинское» на 202</w:t>
      </w:r>
      <w:r w:rsidR="007B65A1">
        <w:rPr>
          <w:b/>
          <w:szCs w:val="28"/>
        </w:rPr>
        <w:t>2</w:t>
      </w:r>
      <w:r>
        <w:rPr>
          <w:b/>
          <w:szCs w:val="28"/>
        </w:rPr>
        <w:t>-202</w:t>
      </w:r>
      <w:r w:rsidR="007B65A1">
        <w:rPr>
          <w:b/>
          <w:szCs w:val="28"/>
        </w:rPr>
        <w:t>4</w:t>
      </w:r>
      <w:r>
        <w:rPr>
          <w:b/>
          <w:szCs w:val="28"/>
        </w:rPr>
        <w:t xml:space="preserve"> годы.</w:t>
      </w:r>
    </w:p>
    <w:p w:rsidR="007F2D00" w:rsidRPr="00DA7FA4" w:rsidRDefault="007F2D00" w:rsidP="007F2D00">
      <w:pPr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  <w:r w:rsidRPr="00DA7FA4">
        <w:rPr>
          <w:szCs w:val="28"/>
        </w:rPr>
        <w:t>В соответствии со статьей 1</w:t>
      </w:r>
      <w:r>
        <w:rPr>
          <w:szCs w:val="28"/>
        </w:rPr>
        <w:t xml:space="preserve">73, 184.2 Бюджетного кодекса Российской Федерации, пунктом 6 статьи 17 Федерального закона от 06 октября 2013 года № 131-ФЗ «Об общих принципах организации местного самоуправления в Российской Федерации», пунктом 1  части 2 статьи 47 Федерального закона от 28 июня 2014 года № 172-ФЗ «О стратегическом планировании Российской Федерации», руководствуясь ст.37, 38 Устава городского поселения «Борзинское»: </w:t>
      </w: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DA7FA4">
        <w:rPr>
          <w:szCs w:val="28"/>
        </w:rPr>
        <w:t xml:space="preserve">Утвердить прилагаемый </w:t>
      </w:r>
      <w:r>
        <w:rPr>
          <w:szCs w:val="28"/>
        </w:rPr>
        <w:t>прогноз социально-экономического развития городского поселения «Борзинское» на 202</w:t>
      </w:r>
      <w:r w:rsidR="007B65A1">
        <w:rPr>
          <w:szCs w:val="28"/>
        </w:rPr>
        <w:t>2</w:t>
      </w:r>
      <w:r>
        <w:rPr>
          <w:szCs w:val="28"/>
        </w:rPr>
        <w:t>-202</w:t>
      </w:r>
      <w:r w:rsidR="007B65A1">
        <w:rPr>
          <w:szCs w:val="28"/>
        </w:rPr>
        <w:t>4</w:t>
      </w:r>
      <w:r>
        <w:rPr>
          <w:szCs w:val="28"/>
        </w:rPr>
        <w:t xml:space="preserve"> годы (</w:t>
      </w:r>
      <w:proofErr w:type="spellStart"/>
      <w:r>
        <w:rPr>
          <w:szCs w:val="28"/>
        </w:rPr>
        <w:t>далее-Прогноз</w:t>
      </w:r>
      <w:proofErr w:type="spellEnd"/>
      <w:r>
        <w:rPr>
          <w:szCs w:val="28"/>
        </w:rPr>
        <w:t>).</w:t>
      </w:r>
    </w:p>
    <w:p w:rsidR="007F2D00" w:rsidRDefault="007F2D00" w:rsidP="007F2D00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 Прогноз</w:t>
      </w:r>
      <w:proofErr w:type="gramEnd"/>
      <w:r>
        <w:rPr>
          <w:szCs w:val="28"/>
        </w:rPr>
        <w:t xml:space="preserve"> на официальном сайте администрации городского поселения «Борзинское» и в государственной системе «Управление» в течение 10 дней со дня утверждения.</w:t>
      </w:r>
    </w:p>
    <w:p w:rsidR="007F2D00" w:rsidRDefault="007F2D00" w:rsidP="007F2D00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начальника отдела экономического развития - М.С. </w:t>
      </w:r>
      <w:proofErr w:type="spellStart"/>
      <w:r>
        <w:rPr>
          <w:szCs w:val="28"/>
        </w:rPr>
        <w:t>Шиц</w:t>
      </w:r>
      <w:proofErr w:type="spellEnd"/>
      <w:r>
        <w:rPr>
          <w:szCs w:val="28"/>
        </w:rPr>
        <w:t xml:space="preserve">. </w:t>
      </w: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8133E9" w:rsidP="007F2D00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9C6A02">
        <w:rPr>
          <w:szCs w:val="28"/>
        </w:rPr>
        <w:t>г</w:t>
      </w:r>
      <w:r w:rsidR="007F2D00" w:rsidRPr="00DA7FA4">
        <w:rPr>
          <w:szCs w:val="28"/>
        </w:rPr>
        <w:t>лав</w:t>
      </w:r>
      <w:r w:rsidR="009C6A02">
        <w:rPr>
          <w:szCs w:val="28"/>
        </w:rPr>
        <w:t>ы</w:t>
      </w:r>
      <w:r w:rsidR="007F2D00" w:rsidRPr="00DA7FA4">
        <w:rPr>
          <w:szCs w:val="28"/>
        </w:rPr>
        <w:t xml:space="preserve"> </w:t>
      </w:r>
      <w:proofErr w:type="gramStart"/>
      <w:r w:rsidR="007F2D00" w:rsidRPr="00DA7FA4">
        <w:rPr>
          <w:szCs w:val="28"/>
        </w:rPr>
        <w:t>городского</w:t>
      </w:r>
      <w:proofErr w:type="gramEnd"/>
      <w:r w:rsidR="007F2D00" w:rsidRPr="00DA7FA4">
        <w:rPr>
          <w:szCs w:val="28"/>
        </w:rPr>
        <w:t xml:space="preserve"> </w:t>
      </w:r>
    </w:p>
    <w:p w:rsidR="007F2D00" w:rsidRDefault="007F2D00" w:rsidP="007F2D00">
      <w:pPr>
        <w:jc w:val="both"/>
        <w:rPr>
          <w:szCs w:val="28"/>
        </w:rPr>
      </w:pPr>
      <w:r w:rsidRPr="00DA7FA4">
        <w:rPr>
          <w:szCs w:val="28"/>
        </w:rPr>
        <w:t>поселения «Борзинское»</w:t>
      </w:r>
      <w:r w:rsidRPr="00DA7FA4">
        <w:rPr>
          <w:szCs w:val="28"/>
        </w:rPr>
        <w:tab/>
        <w:t xml:space="preserve">                    </w:t>
      </w:r>
      <w:r w:rsidRPr="00DA7FA4">
        <w:rPr>
          <w:szCs w:val="28"/>
        </w:rPr>
        <w:tab/>
        <w:t xml:space="preserve"> </w:t>
      </w:r>
      <w:r>
        <w:rPr>
          <w:szCs w:val="28"/>
        </w:rPr>
        <w:t xml:space="preserve">                                   </w:t>
      </w:r>
      <w:r w:rsidRPr="00DA7FA4">
        <w:rPr>
          <w:szCs w:val="28"/>
        </w:rPr>
        <w:t xml:space="preserve"> </w:t>
      </w:r>
      <w:r w:rsidR="009C6A02">
        <w:rPr>
          <w:szCs w:val="28"/>
        </w:rPr>
        <w:t xml:space="preserve">В.Ю. </w:t>
      </w:r>
      <w:proofErr w:type="spellStart"/>
      <w:r w:rsidR="009C6A02">
        <w:rPr>
          <w:szCs w:val="28"/>
        </w:rPr>
        <w:t>Сизиков</w:t>
      </w:r>
      <w:proofErr w:type="spellEnd"/>
    </w:p>
    <w:p w:rsidR="007F2D00" w:rsidRDefault="007F2D00" w:rsidP="007F2D00">
      <w:pPr>
        <w:jc w:val="both"/>
        <w:rPr>
          <w:szCs w:val="28"/>
        </w:rPr>
      </w:pPr>
    </w:p>
    <w:p w:rsidR="007F2D00" w:rsidRDefault="007F2D00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7F2D00" w:rsidRDefault="007F2D00" w:rsidP="007F2D00">
      <w:pPr>
        <w:jc w:val="both"/>
        <w:rPr>
          <w:szCs w:val="28"/>
        </w:rPr>
      </w:pPr>
    </w:p>
    <w:p w:rsidR="007F2D00" w:rsidRDefault="007F2D00" w:rsidP="007F2D00"/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t xml:space="preserve">Прогноз социально-экономического развития городского поселения </w:t>
      </w:r>
    </w:p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t>«Борзинское»</w:t>
      </w:r>
    </w:p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t xml:space="preserve"> на 202</w:t>
      </w:r>
      <w:r w:rsidR="000B5DD1">
        <w:rPr>
          <w:b/>
          <w:bCs/>
          <w:sz w:val="24"/>
        </w:rPr>
        <w:t>2</w:t>
      </w:r>
      <w:r w:rsidRPr="000A4E24">
        <w:rPr>
          <w:b/>
          <w:bCs/>
          <w:sz w:val="24"/>
        </w:rPr>
        <w:t xml:space="preserve"> – 202</w:t>
      </w:r>
      <w:r w:rsidR="000B5DD1">
        <w:rPr>
          <w:b/>
          <w:bCs/>
          <w:sz w:val="24"/>
        </w:rPr>
        <w:t>4</w:t>
      </w:r>
      <w:r w:rsidRPr="000A4E24">
        <w:rPr>
          <w:b/>
          <w:bCs/>
          <w:sz w:val="24"/>
        </w:rPr>
        <w:t xml:space="preserve"> годы</w:t>
      </w:r>
    </w:p>
    <w:p w:rsidR="00180CC5" w:rsidRPr="000A4E24" w:rsidRDefault="00180CC5" w:rsidP="00180CC5">
      <w:pPr>
        <w:rPr>
          <w:b/>
          <w:bCs/>
          <w:sz w:val="24"/>
        </w:rPr>
      </w:pPr>
    </w:p>
    <w:tbl>
      <w:tblPr>
        <w:tblW w:w="10279" w:type="dxa"/>
        <w:tblInd w:w="-886" w:type="dxa"/>
        <w:tblLayout w:type="fixed"/>
        <w:tblLook w:val="0000"/>
      </w:tblPr>
      <w:tblGrid>
        <w:gridCol w:w="4745"/>
        <w:gridCol w:w="1498"/>
        <w:gridCol w:w="1437"/>
        <w:gridCol w:w="1323"/>
        <w:gridCol w:w="1276"/>
      </w:tblGrid>
      <w:tr w:rsidR="00180CC5" w:rsidRPr="000A4E24" w:rsidTr="000A4E24">
        <w:trPr>
          <w:cantSplit/>
          <w:trHeight w:val="495"/>
          <w:tblHeader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Показатели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 xml:space="preserve">Прогноз </w:t>
            </w:r>
          </w:p>
        </w:tc>
      </w:tr>
      <w:tr w:rsidR="00180CC5" w:rsidRPr="000A4E24" w:rsidTr="000A4E24">
        <w:trPr>
          <w:cantSplit/>
          <w:trHeight w:val="495"/>
          <w:tblHeader/>
        </w:trPr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4B2738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</w:t>
            </w:r>
            <w:r w:rsidR="004B2738">
              <w:rPr>
                <w:b/>
                <w:bCs/>
                <w:sz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4B2738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</w:t>
            </w:r>
            <w:r w:rsidR="004B2738">
              <w:rPr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4B2738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</w:t>
            </w:r>
            <w:r w:rsidR="004B2738">
              <w:rPr>
                <w:b/>
                <w:bCs/>
                <w:sz w:val="24"/>
              </w:rPr>
              <w:t>4</w:t>
            </w:r>
          </w:p>
        </w:tc>
      </w:tr>
      <w:tr w:rsidR="00180CC5" w:rsidRPr="000A4E24" w:rsidTr="000A4E24">
        <w:trPr>
          <w:trHeight w:val="642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BD5CE6">
              <w:rPr>
                <w:b/>
                <w:bCs/>
                <w:sz w:val="24"/>
              </w:rPr>
              <w:t>1. Демографические показатели</w:t>
            </w:r>
          </w:p>
          <w:p w:rsidR="00180CC5" w:rsidRPr="000A4E24" w:rsidRDefault="00180CC5" w:rsidP="00A27894">
            <w:pPr>
              <w:rPr>
                <w:sz w:val="24"/>
              </w:rPr>
            </w:pP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Численность постоянного населения (среднегодовая) - 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</w:t>
            </w:r>
            <w:proofErr w:type="gramStart"/>
            <w:r w:rsidRPr="007B65A1">
              <w:rPr>
                <w:sz w:val="24"/>
              </w:rPr>
              <w:t>.ч</w:t>
            </w:r>
            <w:proofErr w:type="gramEnd"/>
            <w:r w:rsidRPr="007B65A1">
              <w:rPr>
                <w:sz w:val="24"/>
              </w:rPr>
              <w:t>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642D22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29,96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642D22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30,44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642D22" w:rsidP="00A27894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30,93</w:t>
            </w:r>
          </w:p>
        </w:tc>
      </w:tr>
      <w:tr w:rsidR="004B2738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 к предыдущему году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101,6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642D22" w:rsidP="00A27894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101,6</w:t>
            </w:r>
          </w:p>
        </w:tc>
      </w:tr>
      <w:tr w:rsidR="00956EF0" w:rsidRPr="007B65A1" w:rsidTr="000A4E24">
        <w:trPr>
          <w:trHeight w:val="64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Общий коэффициент рождаемости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956EF0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13,9</w:t>
            </w:r>
          </w:p>
        </w:tc>
      </w:tr>
      <w:tr w:rsidR="00956EF0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Общий коэффициент смертности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956EF0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11,8</w:t>
            </w:r>
          </w:p>
        </w:tc>
      </w:tr>
      <w:tr w:rsidR="004B2738" w:rsidRPr="007B65A1" w:rsidTr="000A4E24">
        <w:trPr>
          <w:trHeight w:val="46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Коэффициент естественного прироста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EB1AA6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EB1AA6" w:rsidP="00EB1AA6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EB1AA6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EB1AA6" w:rsidP="00EB1AA6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2,1</w:t>
            </w:r>
          </w:p>
        </w:tc>
      </w:tr>
      <w:tr w:rsidR="00180CC5" w:rsidRPr="007B65A1" w:rsidTr="000A4E24">
        <w:trPr>
          <w:trHeight w:val="63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2. Производство товаров и услуг</w:t>
            </w:r>
          </w:p>
        </w:tc>
      </w:tr>
      <w:tr w:rsidR="00180CC5" w:rsidRPr="007B65A1" w:rsidTr="000A4E24">
        <w:trPr>
          <w:trHeight w:val="66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b/>
                <w:bCs/>
                <w:sz w:val="24"/>
              </w:rPr>
              <w:t>2.1. Промышленное производство</w:t>
            </w:r>
          </w:p>
        </w:tc>
      </w:tr>
      <w:tr w:rsidR="004B2738" w:rsidRPr="007B65A1" w:rsidTr="000A4E24">
        <w:trPr>
          <w:trHeight w:val="66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4B2738" w:rsidRPr="007B65A1" w:rsidRDefault="004B2738" w:rsidP="00A27894">
            <w:pPr>
              <w:jc w:val="both"/>
              <w:rPr>
                <w:b/>
                <w:bCs/>
                <w:sz w:val="24"/>
              </w:rPr>
            </w:pPr>
            <w:r w:rsidRPr="007B65A1">
              <w:rPr>
                <w:sz w:val="24"/>
              </w:rPr>
              <w:t>(РАЗДЕЛЫ C:добыча полезных ископаемых; D:обрабатывающие производства; E: производство и распределение электроэнергии, газа и воды)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рублей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889,69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890,58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A27894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891,47</w:t>
            </w:r>
          </w:p>
        </w:tc>
      </w:tr>
      <w:tr w:rsidR="004B2738" w:rsidRPr="007B65A1" w:rsidTr="000A4E24">
        <w:trPr>
          <w:trHeight w:val="158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темпы роста в сопоставимых ценах, % к предыдущему году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100,1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BD5CE6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100,1</w:t>
            </w:r>
          </w:p>
        </w:tc>
      </w:tr>
      <w:tr w:rsidR="00180CC5" w:rsidRPr="007B65A1" w:rsidTr="000A4E24">
        <w:trPr>
          <w:trHeight w:val="587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в том числе:</w:t>
            </w:r>
          </w:p>
        </w:tc>
      </w:tr>
      <w:tr w:rsidR="00180CC5" w:rsidRPr="007B65A1" w:rsidTr="000A4E24">
        <w:trPr>
          <w:trHeight w:val="112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по РАЗДЕЛУ C: Добыча полезных ископаемых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0,0</w:t>
            </w: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</w:t>
            </w:r>
          </w:p>
        </w:tc>
      </w:tr>
      <w:tr w:rsidR="004B2738" w:rsidRPr="007B65A1" w:rsidTr="000A4E24">
        <w:trPr>
          <w:trHeight w:val="112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 по РАЗДЕЛУ D: Обрабатывающие производства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41,29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41,66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D67FBE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42,03</w:t>
            </w: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D67FBE" w:rsidP="00BD5CE6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100,9</w:t>
            </w:r>
          </w:p>
        </w:tc>
      </w:tr>
      <w:tr w:rsidR="004B2738" w:rsidRPr="007B65A1" w:rsidTr="000A4E24">
        <w:trPr>
          <w:trHeight w:val="13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 по РАЗДЕЛУ E: Обеспечение электрической энергией, газом и паром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825,19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831,80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BD5C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Водоснабжение, водоотведение, утилизация отходов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59,1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956EF0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61,</w:t>
            </w:r>
            <w:r w:rsidR="00956EF0" w:rsidRPr="007B65A1">
              <w:rPr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EE2E6D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</w:t>
            </w:r>
            <w:r w:rsidR="00956EF0" w:rsidRPr="007B65A1">
              <w:rPr>
                <w:sz w:val="24"/>
              </w:rPr>
              <w:t>3,9</w:t>
            </w:r>
            <w:r w:rsidR="00EE2E6D">
              <w:rPr>
                <w:sz w:val="24"/>
              </w:rPr>
              <w:t>2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104,</w:t>
            </w:r>
            <w:r w:rsidR="00956EF0" w:rsidRPr="007B65A1">
              <w:rPr>
                <w:sz w:val="24"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956EF0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104</w:t>
            </w:r>
            <w:r w:rsidR="00956EF0" w:rsidRPr="007B65A1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956EF0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104,</w:t>
            </w:r>
            <w:r w:rsidR="00956EF0" w:rsidRPr="007B65A1">
              <w:rPr>
                <w:sz w:val="24"/>
              </w:rPr>
              <w:t>00</w:t>
            </w:r>
          </w:p>
        </w:tc>
      </w:tr>
      <w:tr w:rsidR="004B2738" w:rsidRPr="007B65A1" w:rsidTr="000A4E24">
        <w:trPr>
          <w:trHeight w:val="51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849F0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2.2 Сельское хозяйство</w:t>
            </w:r>
          </w:p>
        </w:tc>
      </w:tr>
      <w:tr w:rsidR="004B2738" w:rsidRPr="007B65A1" w:rsidTr="000A4E24">
        <w:trPr>
          <w:trHeight w:val="90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Валовая продукция сельского хозяйства во всех категориях хозяйств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</w:t>
            </w:r>
            <w:proofErr w:type="gramStart"/>
            <w:r w:rsidRPr="007B65A1">
              <w:rPr>
                <w:sz w:val="24"/>
              </w:rPr>
              <w:t>.р</w:t>
            </w:r>
            <w:proofErr w:type="gramEnd"/>
            <w:r w:rsidRPr="007B65A1">
              <w:rPr>
                <w:sz w:val="24"/>
              </w:rPr>
              <w:t>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394AF1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93,21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394AF1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96,85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394AF1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100,63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394AF1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849F0" w:rsidP="00394AF1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  <w:r w:rsidR="00394AF1" w:rsidRPr="007B65A1">
              <w:rPr>
                <w:sz w:val="24"/>
              </w:rPr>
              <w:t>3</w:t>
            </w:r>
            <w:r w:rsidRPr="007B65A1">
              <w:rPr>
                <w:sz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394AF1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  <w:r w:rsidR="00394AF1" w:rsidRPr="007B65A1">
              <w:rPr>
                <w:sz w:val="24"/>
              </w:rPr>
              <w:t>3</w:t>
            </w:r>
            <w:r w:rsidRPr="007B65A1">
              <w:rPr>
                <w:sz w:val="24"/>
              </w:rPr>
              <w:t>,9</w:t>
            </w:r>
          </w:p>
        </w:tc>
      </w:tr>
      <w:tr w:rsidR="00180CC5" w:rsidRPr="007B65A1" w:rsidTr="00EE2E6D">
        <w:trPr>
          <w:trHeight w:val="30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 xml:space="preserve">2.3. Транспорт 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EE2E6D">
        <w:trPr>
          <w:trHeight w:val="678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lastRenderedPageBreak/>
              <w:t xml:space="preserve">Протяженность автомобильных дорог местного значения, находящихся в собственности муниципальных образований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км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BD5CE6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189,253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BD5CE6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189,253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BD5CE6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189,253</w:t>
            </w:r>
          </w:p>
        </w:tc>
      </w:tr>
      <w:tr w:rsidR="00180CC5" w:rsidRPr="007B65A1" w:rsidTr="000A4E24">
        <w:trPr>
          <w:trHeight w:val="286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2.4. Строительство</w:t>
            </w:r>
          </w:p>
          <w:p w:rsidR="00180CC5" w:rsidRPr="007B65A1" w:rsidRDefault="00180CC5" w:rsidP="00A27894">
            <w:pPr>
              <w:jc w:val="right"/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0A4E24">
        <w:trPr>
          <w:trHeight w:val="75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Объем работ, выполненных по виду деятельности "строительство"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-</w:t>
            </w:r>
          </w:p>
        </w:tc>
      </w:tr>
      <w:tr w:rsidR="00180CC5" w:rsidRPr="007B65A1" w:rsidTr="000A4E24">
        <w:trPr>
          <w:trHeight w:val="63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 к предыдущему году в сопоставимых ценах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0</w:t>
            </w:r>
          </w:p>
        </w:tc>
      </w:tr>
      <w:tr w:rsidR="00180CC5" w:rsidRPr="007B65A1" w:rsidTr="000A4E24">
        <w:trPr>
          <w:trHeight w:val="63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тыс. кв. м общей площади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pStyle w:val="1"/>
              <w:spacing w:before="0" w:after="40"/>
              <w:jc w:val="center"/>
            </w:pPr>
            <w:r w:rsidRPr="007B65A1">
              <w:t>2,2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pStyle w:val="1"/>
              <w:spacing w:before="0" w:after="40"/>
              <w:jc w:val="center"/>
            </w:pPr>
            <w:r w:rsidRPr="007B65A1"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pStyle w:val="1"/>
              <w:spacing w:before="0" w:after="40"/>
              <w:jc w:val="center"/>
            </w:pPr>
            <w:r w:rsidRPr="007B65A1">
              <w:t>2,2</w:t>
            </w:r>
          </w:p>
        </w:tc>
      </w:tr>
      <w:tr w:rsidR="00180CC5" w:rsidRPr="007B65A1" w:rsidTr="000A4E24">
        <w:trPr>
          <w:trHeight w:val="57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3. Рынок товаров и услуг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4B2738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Оборот розничной торговли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4244,04</w:t>
            </w:r>
          </w:p>
        </w:tc>
      </w:tr>
      <w:tr w:rsidR="004B2738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107,3</w:t>
            </w:r>
          </w:p>
        </w:tc>
      </w:tr>
      <w:tr w:rsidR="004B2738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Оборот общественного питания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386,34</w:t>
            </w:r>
          </w:p>
        </w:tc>
      </w:tr>
      <w:tr w:rsidR="004B2738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106,4</w:t>
            </w:r>
          </w:p>
        </w:tc>
      </w:tr>
      <w:tr w:rsidR="00180CC5" w:rsidRPr="007B65A1" w:rsidTr="000A4E24">
        <w:trPr>
          <w:trHeight w:val="57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4. Малое предпринимательство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EE2E6D">
        <w:trPr>
          <w:trHeight w:val="64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52291F" w:rsidP="00403D40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Количество </w:t>
            </w:r>
            <w:r w:rsidR="00403D40">
              <w:rPr>
                <w:sz w:val="24"/>
              </w:rPr>
              <w:t xml:space="preserve">малых предприятий </w:t>
            </w:r>
            <w:r w:rsidR="00180CC5" w:rsidRPr="007B65A1">
              <w:rPr>
                <w:sz w:val="24"/>
              </w:rPr>
              <w:t>- всего по состоянию на конец года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403D40" w:rsidP="00A27894">
            <w:pPr>
              <w:pStyle w:val="1"/>
              <w:jc w:val="center"/>
            </w:pPr>
            <w: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403D40" w:rsidP="00A27894">
            <w:pPr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403D40" w:rsidP="00A27894">
            <w:pPr>
              <w:pStyle w:val="1"/>
              <w:jc w:val="center"/>
            </w:pPr>
            <w:r>
              <w:t>11</w:t>
            </w:r>
          </w:p>
        </w:tc>
      </w:tr>
      <w:tr w:rsidR="00180CC5" w:rsidRPr="007B65A1" w:rsidTr="00EE2E6D">
        <w:trPr>
          <w:trHeight w:val="84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lastRenderedPageBreak/>
              <w:t>Среднесписочная численность работников, занятых на малых предприятиях - 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403D40" w:rsidRDefault="00180CC5" w:rsidP="0052291F">
            <w:pPr>
              <w:pStyle w:val="1"/>
              <w:jc w:val="center"/>
            </w:pPr>
            <w:r w:rsidRPr="00403D40">
              <w:t>51</w:t>
            </w:r>
            <w:r w:rsidR="0052291F" w:rsidRPr="00403D40">
              <w:t>5</w:t>
            </w:r>
            <w:r w:rsidRPr="00403D40">
              <w:t xml:space="preserve">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403D40" w:rsidRDefault="00180CC5" w:rsidP="0052291F">
            <w:pPr>
              <w:ind w:right="4"/>
              <w:jc w:val="center"/>
              <w:rPr>
                <w:sz w:val="24"/>
              </w:rPr>
            </w:pPr>
            <w:r w:rsidRPr="00403D40">
              <w:rPr>
                <w:sz w:val="24"/>
              </w:rPr>
              <w:t>51</w:t>
            </w:r>
            <w:r w:rsidR="0052291F" w:rsidRPr="00403D40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403D40" w:rsidRDefault="00180CC5" w:rsidP="0052291F">
            <w:pPr>
              <w:pStyle w:val="1"/>
              <w:jc w:val="center"/>
            </w:pPr>
            <w:r w:rsidRPr="00403D40">
              <w:t>51</w:t>
            </w:r>
            <w:r w:rsidR="0052291F" w:rsidRPr="00403D40">
              <w:t>5</w:t>
            </w:r>
          </w:p>
        </w:tc>
      </w:tr>
      <w:tr w:rsidR="00180CC5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Инвестиции в основной капитал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pStyle w:val="1"/>
              <w:ind w:right="-153"/>
              <w:jc w:val="center"/>
            </w:pPr>
            <w:r w:rsidRPr="007B65A1"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ind w:right="-57" w:hanging="72"/>
              <w:jc w:val="center"/>
              <w:rPr>
                <w:sz w:val="24"/>
              </w:rPr>
            </w:pPr>
            <w:r w:rsidRPr="007B65A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pStyle w:val="1"/>
              <w:ind w:right="-84" w:hanging="18"/>
              <w:jc w:val="center"/>
            </w:pPr>
            <w:r w:rsidRPr="007B65A1">
              <w:t>-</w:t>
            </w:r>
          </w:p>
        </w:tc>
      </w:tr>
      <w:tr w:rsidR="00180CC5" w:rsidRPr="007B65A1" w:rsidTr="000A4E24">
        <w:trPr>
          <w:trHeight w:val="30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5. Инвестиции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pStyle w:val="1"/>
              <w:ind w:left="100"/>
              <w:jc w:val="center"/>
            </w:pPr>
            <w:r w:rsidRPr="007B65A1">
              <w:t>1,1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ind w:left="-36" w:right="-142" w:hanging="142"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pStyle w:val="1"/>
              <w:ind w:hanging="74"/>
              <w:jc w:val="center"/>
            </w:pPr>
            <w:r w:rsidRPr="007B65A1">
              <w:t>1,1</w:t>
            </w:r>
          </w:p>
        </w:tc>
      </w:tr>
      <w:tr w:rsidR="004B2738" w:rsidRPr="007B65A1" w:rsidTr="000A4E24">
        <w:trPr>
          <w:trHeight w:val="63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 к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ind w:right="4"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pStyle w:val="1"/>
              <w:jc w:val="center"/>
            </w:pPr>
            <w:r w:rsidRPr="007B65A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pStyle w:val="1"/>
              <w:jc w:val="center"/>
            </w:pPr>
            <w:r w:rsidRPr="007B65A1">
              <w:t>100,0</w:t>
            </w:r>
          </w:p>
        </w:tc>
      </w:tr>
      <w:tr w:rsidR="00180CC5" w:rsidRPr="007B65A1" w:rsidTr="000A4E24">
        <w:trPr>
          <w:trHeight w:val="61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6. Уровень жизни населения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  </w:t>
            </w: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Среднемесячная заработная плата 1 работающего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D53C91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45674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D53C91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48505,8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D53C91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51755,7</w:t>
            </w:r>
          </w:p>
        </w:tc>
      </w:tr>
      <w:tr w:rsidR="00180CC5" w:rsidRPr="007B65A1" w:rsidTr="000A4E24">
        <w:trPr>
          <w:trHeight w:val="30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7. Труд и занятость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0CC5" w:rsidRPr="007B65A1" w:rsidTr="000A4E24">
        <w:trPr>
          <w:trHeight w:val="25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трудовых ресурсов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5F04DB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</w:t>
            </w:r>
            <w:proofErr w:type="gramStart"/>
            <w:r w:rsidRPr="007B65A1">
              <w:rPr>
                <w:sz w:val="24"/>
              </w:rPr>
              <w:t>.ч</w:t>
            </w:r>
            <w:proofErr w:type="gramEnd"/>
            <w:r w:rsidRPr="007B65A1">
              <w:rPr>
                <w:sz w:val="24"/>
              </w:rPr>
              <w:t>ело</w:t>
            </w:r>
            <w:r w:rsidR="005F04DB" w:rsidRPr="007B65A1">
              <w:rPr>
                <w:sz w:val="24"/>
              </w:rPr>
              <w:t>-в</w:t>
            </w:r>
            <w:r w:rsidRPr="007B65A1">
              <w:rPr>
                <w:sz w:val="24"/>
              </w:rPr>
              <w:t>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17,7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ind w:right="4"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17,7</w:t>
            </w:r>
          </w:p>
        </w:tc>
      </w:tr>
      <w:tr w:rsidR="00180CC5" w:rsidRPr="007B65A1" w:rsidTr="000A4E24">
        <w:trPr>
          <w:trHeight w:val="43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8,2</w:t>
            </w:r>
          </w:p>
        </w:tc>
      </w:tr>
      <w:tr w:rsidR="00180CC5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пенсионеров, состоящих на учете в Пенсионном фонде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</w:t>
            </w:r>
            <w:proofErr w:type="gramStart"/>
            <w:r w:rsidRPr="007B65A1">
              <w:rPr>
                <w:sz w:val="24"/>
              </w:rPr>
              <w:t>.ч</w:t>
            </w:r>
            <w:proofErr w:type="gramEnd"/>
            <w:r w:rsidRPr="007B65A1">
              <w:rPr>
                <w:sz w:val="24"/>
              </w:rPr>
              <w:t>ело</w:t>
            </w:r>
            <w:r w:rsidR="005F04DB" w:rsidRPr="007B65A1">
              <w:rPr>
                <w:sz w:val="24"/>
              </w:rPr>
              <w:t>-</w:t>
            </w:r>
            <w:r w:rsidRPr="007B65A1">
              <w:rPr>
                <w:sz w:val="24"/>
              </w:rPr>
              <w:t>век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4B2738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6,</w:t>
            </w:r>
            <w:r w:rsidR="004B2738" w:rsidRPr="007B65A1">
              <w:rPr>
                <w:sz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6,5</w:t>
            </w:r>
          </w:p>
        </w:tc>
      </w:tr>
      <w:tr w:rsidR="00180CC5" w:rsidRPr="007B65A1" w:rsidTr="000A4E24">
        <w:trPr>
          <w:trHeight w:val="403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8. Развитие социальной сферы</w:t>
            </w:r>
          </w:p>
          <w:p w:rsidR="00180CC5" w:rsidRPr="007B65A1" w:rsidRDefault="00180CC5" w:rsidP="00A27894">
            <w:pPr>
              <w:rPr>
                <w:color w:val="FF0000"/>
                <w:sz w:val="24"/>
              </w:rPr>
            </w:pPr>
            <w:r w:rsidRPr="007B65A1">
              <w:rPr>
                <w:color w:val="FF0000"/>
                <w:sz w:val="24"/>
              </w:rPr>
              <w:t> </w:t>
            </w:r>
          </w:p>
        </w:tc>
      </w:tr>
      <w:tr w:rsidR="00180CC5" w:rsidRPr="007B65A1" w:rsidTr="000A4E24">
        <w:trPr>
          <w:trHeight w:val="75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детских дошкольных учреждений, 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</w:tr>
      <w:tr w:rsidR="00180CC5" w:rsidRPr="007B65A1" w:rsidTr="000A4E24">
        <w:trPr>
          <w:trHeight w:val="75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1505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1505</w:t>
            </w:r>
          </w:p>
        </w:tc>
      </w:tr>
      <w:tr w:rsidR="00180CC5" w:rsidRPr="007B65A1" w:rsidTr="000A4E24">
        <w:trPr>
          <w:trHeight w:val="22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Число дневных общеобразовательных школ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21</w:t>
            </w:r>
          </w:p>
        </w:tc>
      </w:tr>
      <w:tr w:rsidR="00180CC5" w:rsidRPr="007B65A1" w:rsidTr="000A4E24">
        <w:trPr>
          <w:trHeight w:val="25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учащихся в дневных общеобразовательных учреждениях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D53C91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665</w:t>
            </w:r>
            <w:r w:rsidR="00180CC5" w:rsidRPr="007B65A1">
              <w:rPr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9C737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</w:t>
            </w:r>
            <w:r w:rsidR="00D53C91" w:rsidRPr="007B65A1">
              <w:rPr>
                <w:sz w:val="24"/>
              </w:rPr>
              <w:t>68</w:t>
            </w:r>
            <w:r w:rsidR="009C7374" w:rsidRPr="007B65A1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D53C91" w:rsidP="009C7374">
            <w:pPr>
              <w:ind w:hanging="172"/>
              <w:jc w:val="center"/>
              <w:rPr>
                <w:sz w:val="24"/>
              </w:rPr>
            </w:pPr>
            <w:r w:rsidRPr="007B65A1">
              <w:rPr>
                <w:sz w:val="24"/>
              </w:rPr>
              <w:t>671</w:t>
            </w:r>
            <w:r w:rsidR="009C7374" w:rsidRPr="007B65A1">
              <w:rPr>
                <w:sz w:val="24"/>
              </w:rPr>
              <w:t>0</w:t>
            </w:r>
          </w:p>
        </w:tc>
      </w:tr>
      <w:tr w:rsidR="00180CC5" w:rsidRPr="007B65A1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муниципальных библиотек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</w:tr>
      <w:tr w:rsidR="00180CC5" w:rsidRPr="007B65A1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ме</w:t>
            </w:r>
            <w:proofErr w:type="gramStart"/>
            <w:r w:rsidRPr="007B65A1">
              <w:rPr>
                <w:sz w:val="24"/>
              </w:rPr>
              <w:t>ст в зр</w:t>
            </w:r>
            <w:proofErr w:type="gramEnd"/>
            <w:r w:rsidRPr="007B65A1">
              <w:rPr>
                <w:sz w:val="24"/>
              </w:rPr>
              <w:t xml:space="preserve">ительных залах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мест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390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390</w:t>
            </w:r>
          </w:p>
        </w:tc>
      </w:tr>
      <w:tr w:rsidR="00180CC5" w:rsidRPr="007B65A1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музеев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</w:tr>
      <w:tr w:rsidR="004B2738" w:rsidRPr="007B65A1" w:rsidTr="00EE2E6D">
        <w:trPr>
          <w:trHeight w:val="48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музыкальных и художественных школ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D53C91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D53C91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</w:t>
            </w:r>
          </w:p>
        </w:tc>
      </w:tr>
      <w:tr w:rsidR="00180CC5" w:rsidRPr="007B65A1" w:rsidTr="00EE2E6D">
        <w:trPr>
          <w:trHeight w:val="48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lastRenderedPageBreak/>
              <w:t>Число летних оздоровительных лагерей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</w:t>
            </w:r>
          </w:p>
        </w:tc>
      </w:tr>
      <w:tr w:rsidR="00180CC5" w:rsidRPr="007B65A1" w:rsidTr="000A4E24">
        <w:trPr>
          <w:trHeight w:val="17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спортивных школ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</w:tr>
      <w:tr w:rsidR="00180CC5" w:rsidRPr="000A4E24" w:rsidTr="000A4E24">
        <w:trPr>
          <w:trHeight w:val="1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спортивных сооружений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7</w:t>
            </w:r>
          </w:p>
        </w:tc>
      </w:tr>
    </w:tbl>
    <w:p w:rsidR="00BB7468" w:rsidRPr="000A4E24" w:rsidRDefault="00BB7468" w:rsidP="00180CC5">
      <w:pPr>
        <w:rPr>
          <w:sz w:val="24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EE2E6D" w:rsidRDefault="00EE2E6D" w:rsidP="00BB7468">
      <w:pPr>
        <w:jc w:val="center"/>
        <w:rPr>
          <w:szCs w:val="28"/>
        </w:rPr>
      </w:pP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lastRenderedPageBreak/>
        <w:t>ПОЯСНИТЕЛЬНАЯ ЗАПИСКА</w:t>
      </w:r>
    </w:p>
    <w:p w:rsidR="00BB7468" w:rsidRPr="000A4E24" w:rsidRDefault="00BB7468" w:rsidP="00BB7468">
      <w:pPr>
        <w:jc w:val="center"/>
        <w:rPr>
          <w:szCs w:val="28"/>
        </w:rPr>
      </w:pP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t>к прогнозу социально-экономического развития</w:t>
      </w: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t>городского поселения «Борзинское» на 202</w:t>
      </w:r>
      <w:r w:rsidR="00CF70FE">
        <w:rPr>
          <w:szCs w:val="28"/>
        </w:rPr>
        <w:t>2</w:t>
      </w:r>
      <w:r w:rsidRPr="000A4E24">
        <w:rPr>
          <w:szCs w:val="28"/>
        </w:rPr>
        <w:t xml:space="preserve"> год и плановый период 202</w:t>
      </w:r>
      <w:r w:rsidR="00CF70FE">
        <w:rPr>
          <w:szCs w:val="28"/>
        </w:rPr>
        <w:t>3</w:t>
      </w:r>
      <w:r w:rsidRPr="000A4E24">
        <w:rPr>
          <w:szCs w:val="28"/>
        </w:rPr>
        <w:t xml:space="preserve"> и 202</w:t>
      </w:r>
      <w:r w:rsidR="00CF70FE">
        <w:rPr>
          <w:szCs w:val="28"/>
        </w:rPr>
        <w:t>4</w:t>
      </w:r>
      <w:r w:rsidRPr="000A4E24">
        <w:rPr>
          <w:szCs w:val="28"/>
        </w:rPr>
        <w:t xml:space="preserve"> годов</w:t>
      </w:r>
    </w:p>
    <w:p w:rsidR="00BB7468" w:rsidRPr="000A4E24" w:rsidRDefault="00BB7468" w:rsidP="00BB7468">
      <w:pPr>
        <w:jc w:val="center"/>
        <w:rPr>
          <w:szCs w:val="28"/>
        </w:rPr>
      </w:pPr>
    </w:p>
    <w:p w:rsidR="00BB7468" w:rsidRPr="000A4E24" w:rsidRDefault="00BB7468" w:rsidP="00BB7468">
      <w:pPr>
        <w:widowControl w:val="0"/>
        <w:ind w:firstLine="708"/>
        <w:jc w:val="both"/>
        <w:rPr>
          <w:szCs w:val="28"/>
        </w:rPr>
      </w:pPr>
      <w:r w:rsidRPr="000A4E24">
        <w:rPr>
          <w:color w:val="000000"/>
          <w:szCs w:val="28"/>
        </w:rPr>
        <w:t xml:space="preserve">   </w:t>
      </w:r>
      <w:proofErr w:type="gramStart"/>
      <w:r w:rsidRPr="000A4E24">
        <w:rPr>
          <w:szCs w:val="28"/>
        </w:rPr>
        <w:t>Прогноз  социально-экономического развития  городского поселения «Борзинское»  на 202</w:t>
      </w:r>
      <w:r w:rsidR="00CF70FE">
        <w:rPr>
          <w:szCs w:val="28"/>
        </w:rPr>
        <w:t>2</w:t>
      </w:r>
      <w:r w:rsidRPr="000A4E24">
        <w:rPr>
          <w:szCs w:val="28"/>
        </w:rPr>
        <w:t xml:space="preserve"> год и плановый период 202</w:t>
      </w:r>
      <w:r w:rsidR="00CF70FE">
        <w:rPr>
          <w:szCs w:val="28"/>
        </w:rPr>
        <w:t>3</w:t>
      </w:r>
      <w:r w:rsidRPr="000A4E24">
        <w:rPr>
          <w:szCs w:val="28"/>
        </w:rPr>
        <w:t xml:space="preserve"> и 202</w:t>
      </w:r>
      <w:r w:rsidR="00CF70FE">
        <w:rPr>
          <w:szCs w:val="28"/>
        </w:rPr>
        <w:t>4</w:t>
      </w:r>
      <w:r w:rsidRPr="000A4E24">
        <w:rPr>
          <w:szCs w:val="28"/>
        </w:rPr>
        <w:t xml:space="preserve"> годов (далее – прогноз) разработан с учетом итогов социально-экономического развития  городского поселения «Борзинское» за 20</w:t>
      </w:r>
      <w:r w:rsidR="00CF70FE">
        <w:rPr>
          <w:szCs w:val="28"/>
        </w:rPr>
        <w:t>20</w:t>
      </w:r>
      <w:r w:rsidRPr="000A4E24">
        <w:rPr>
          <w:szCs w:val="28"/>
        </w:rPr>
        <w:t xml:space="preserve"> год, текущий период 202</w:t>
      </w:r>
      <w:r w:rsidR="00CF70FE">
        <w:rPr>
          <w:szCs w:val="28"/>
        </w:rPr>
        <w:t>1</w:t>
      </w:r>
      <w:r w:rsidRPr="000A4E24">
        <w:rPr>
          <w:szCs w:val="28"/>
        </w:rPr>
        <w:t xml:space="preserve"> года, на основе анализа текущего состояния  и с учетом тенденций развития российской экономики, обозначенных в базовом варианте  Сценарных условий, основных параметров прогноза социально-экономического развития Российской Федерации и</w:t>
      </w:r>
      <w:proofErr w:type="gramEnd"/>
      <w:r w:rsidRPr="000A4E24">
        <w:rPr>
          <w:szCs w:val="28"/>
        </w:rPr>
        <w:t xml:space="preserve"> предельных уровней  цен (тарифов)  на услуги компаний  инфраструктурного сектора на 202</w:t>
      </w:r>
      <w:r w:rsidR="00CF70FE">
        <w:rPr>
          <w:szCs w:val="28"/>
        </w:rPr>
        <w:t>2</w:t>
      </w:r>
      <w:r w:rsidRPr="000A4E24">
        <w:rPr>
          <w:szCs w:val="28"/>
        </w:rPr>
        <w:t xml:space="preserve"> год и на плановый период 202</w:t>
      </w:r>
      <w:r w:rsidR="00CF70FE">
        <w:rPr>
          <w:szCs w:val="28"/>
        </w:rPr>
        <w:t>3</w:t>
      </w:r>
      <w:r w:rsidRPr="000A4E24">
        <w:rPr>
          <w:szCs w:val="28"/>
        </w:rPr>
        <w:t xml:space="preserve"> и 202</w:t>
      </w:r>
      <w:r w:rsidR="00CF70FE">
        <w:rPr>
          <w:szCs w:val="28"/>
        </w:rPr>
        <w:t>4</w:t>
      </w:r>
      <w:r w:rsidRPr="000A4E24">
        <w:rPr>
          <w:szCs w:val="28"/>
        </w:rPr>
        <w:t xml:space="preserve"> годов, приоритетов, определенных указами Президента Российской  Федерации,  Стратегией социально-экономического развития Забайкальского края на период до 2030 года,   прогнозных оценок хозяйствующих субъектов.</w:t>
      </w:r>
    </w:p>
    <w:p w:rsidR="00BB7468" w:rsidRPr="000A4E24" w:rsidRDefault="00BB7468" w:rsidP="00BB7468">
      <w:pPr>
        <w:widowControl w:val="0"/>
        <w:ind w:firstLine="720"/>
        <w:jc w:val="both"/>
        <w:rPr>
          <w:b/>
          <w:szCs w:val="28"/>
        </w:rPr>
      </w:pPr>
      <w:proofErr w:type="gramStart"/>
      <w:r w:rsidRPr="000A4E24">
        <w:rPr>
          <w:color w:val="000000"/>
          <w:szCs w:val="28"/>
        </w:rPr>
        <w:t>Прогноз социально-экономического развития городского поселения «Борзинское</w:t>
      </w:r>
      <w:r w:rsidRPr="00A52DA6">
        <w:rPr>
          <w:szCs w:val="28"/>
        </w:rPr>
        <w:t>» на 202</w:t>
      </w:r>
      <w:r w:rsidR="00A52DA6" w:rsidRPr="00A52DA6">
        <w:rPr>
          <w:szCs w:val="28"/>
        </w:rPr>
        <w:t>2</w:t>
      </w:r>
      <w:r w:rsidRPr="000A4E24">
        <w:rPr>
          <w:color w:val="000000"/>
          <w:szCs w:val="28"/>
        </w:rPr>
        <w:t xml:space="preserve"> год и плановый период </w:t>
      </w:r>
      <w:r w:rsidRPr="000A4E24">
        <w:rPr>
          <w:szCs w:val="28"/>
        </w:rPr>
        <w:t>202</w:t>
      </w:r>
      <w:r w:rsidR="00A52DA6">
        <w:rPr>
          <w:szCs w:val="28"/>
        </w:rPr>
        <w:t>3</w:t>
      </w:r>
      <w:r w:rsidRPr="000A4E24">
        <w:rPr>
          <w:szCs w:val="28"/>
        </w:rPr>
        <w:t>-202</w:t>
      </w:r>
      <w:r w:rsidR="00CF70FE">
        <w:rPr>
          <w:szCs w:val="28"/>
        </w:rPr>
        <w:t>4</w:t>
      </w:r>
      <w:r w:rsidRPr="000A4E24">
        <w:rPr>
          <w:szCs w:val="28"/>
        </w:rPr>
        <w:t xml:space="preserve"> годов</w:t>
      </w:r>
      <w:r w:rsidRPr="000A4E24">
        <w:rPr>
          <w:color w:val="000000"/>
          <w:szCs w:val="28"/>
        </w:rPr>
        <w:t xml:space="preserve"> разработан на основе анализа тенденций развития отраслей экономики и социальной сферы городского поселения «Борзинское» и сценарных условий социально-экономического развития Забайкальского края на 202</w:t>
      </w:r>
      <w:r w:rsidR="007B65A1">
        <w:rPr>
          <w:color w:val="000000"/>
          <w:szCs w:val="28"/>
        </w:rPr>
        <w:t>2</w:t>
      </w:r>
      <w:r w:rsidRPr="000A4E24">
        <w:rPr>
          <w:color w:val="000000"/>
          <w:szCs w:val="28"/>
        </w:rPr>
        <w:t> год, и плановый период  202</w:t>
      </w:r>
      <w:r w:rsidR="007B65A1">
        <w:rPr>
          <w:color w:val="000000"/>
          <w:szCs w:val="28"/>
        </w:rPr>
        <w:t>3</w:t>
      </w:r>
      <w:r w:rsidRPr="000A4E24">
        <w:rPr>
          <w:color w:val="000000"/>
          <w:szCs w:val="28"/>
        </w:rPr>
        <w:t xml:space="preserve"> – 202</w:t>
      </w:r>
      <w:r w:rsidR="00CF70FE">
        <w:rPr>
          <w:color w:val="000000"/>
          <w:szCs w:val="28"/>
        </w:rPr>
        <w:t>4</w:t>
      </w:r>
      <w:r w:rsidRPr="000A4E24">
        <w:rPr>
          <w:color w:val="000000"/>
          <w:szCs w:val="28"/>
        </w:rPr>
        <w:t xml:space="preserve"> годов с учетом индексов-дефляторов, рекомендованных Министерством экономического развития РФ и Забайкальского края. </w:t>
      </w:r>
      <w:proofErr w:type="gramEnd"/>
    </w:p>
    <w:p w:rsidR="00BB7468" w:rsidRPr="000A4E24" w:rsidRDefault="00BB7468" w:rsidP="00BB7468">
      <w:pPr>
        <w:widowControl w:val="0"/>
        <w:ind w:firstLine="708"/>
        <w:rPr>
          <w:szCs w:val="28"/>
        </w:rPr>
      </w:pPr>
      <w:r w:rsidRPr="000A4E24">
        <w:rPr>
          <w:szCs w:val="28"/>
        </w:rPr>
        <w:t xml:space="preserve">Прогноз разработан в одном  варианте:  вариант 2 (базовый). </w:t>
      </w:r>
    </w:p>
    <w:p w:rsidR="00BB7468" w:rsidRPr="000A4E24" w:rsidRDefault="00BB7468" w:rsidP="00BB7468">
      <w:pPr>
        <w:widowControl w:val="0"/>
        <w:ind w:firstLine="709"/>
        <w:jc w:val="both"/>
        <w:rPr>
          <w:szCs w:val="28"/>
        </w:rPr>
      </w:pPr>
      <w:r w:rsidRPr="000A4E24">
        <w:rPr>
          <w:szCs w:val="28"/>
        </w:rPr>
        <w:t>Базовый вариант развития экономики предполагает замедление инфляции, умеренные темпы роста доходов населения, положительную  динамику развития экономики на весь прогнозируемый период.</w:t>
      </w:r>
    </w:p>
    <w:p w:rsidR="00BB7468" w:rsidRPr="000A4E24" w:rsidRDefault="00BB7468" w:rsidP="00BB7468">
      <w:pPr>
        <w:widowControl w:val="0"/>
        <w:ind w:firstLine="709"/>
        <w:jc w:val="both"/>
        <w:rPr>
          <w:szCs w:val="28"/>
        </w:rPr>
      </w:pPr>
      <w:r w:rsidRPr="000A4E24">
        <w:rPr>
          <w:szCs w:val="28"/>
        </w:rPr>
        <w:t xml:space="preserve"> </w:t>
      </w: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t>1. Структура городского поселения</w:t>
      </w:r>
    </w:p>
    <w:p w:rsidR="00BB7468" w:rsidRDefault="00BB7468" w:rsidP="00BB7468">
      <w:pPr>
        <w:jc w:val="both"/>
        <w:rPr>
          <w:color w:val="000000"/>
          <w:szCs w:val="28"/>
        </w:rPr>
      </w:pPr>
      <w:r w:rsidRPr="000A4E24">
        <w:rPr>
          <w:szCs w:val="28"/>
        </w:rPr>
        <w:t xml:space="preserve">       </w:t>
      </w:r>
      <w:r w:rsidRPr="000A4E24">
        <w:rPr>
          <w:color w:val="000000"/>
          <w:szCs w:val="28"/>
        </w:rPr>
        <w:t>На 01 января 202</w:t>
      </w:r>
      <w:r w:rsidR="00CF70FE">
        <w:rPr>
          <w:color w:val="000000"/>
          <w:szCs w:val="28"/>
        </w:rPr>
        <w:t>1</w:t>
      </w:r>
      <w:r w:rsidRPr="000A4E24">
        <w:rPr>
          <w:color w:val="000000"/>
          <w:szCs w:val="28"/>
        </w:rPr>
        <w:t xml:space="preserve"> года, по данным Территориального органа Федеральной службы государственной статистики по Забайкальскому краю  хозяйственную деятельность на территории городского поселения «Борзинское» осуществляют </w:t>
      </w:r>
      <w:r w:rsidRPr="007B65A1">
        <w:rPr>
          <w:szCs w:val="28"/>
        </w:rPr>
        <w:t>182</w:t>
      </w:r>
      <w:r w:rsidRPr="000A4E24">
        <w:rPr>
          <w:color w:val="000000"/>
          <w:szCs w:val="28"/>
        </w:rPr>
        <w:t xml:space="preserve"> предприятия и  организаций различных форм собственности, на которых занято</w:t>
      </w:r>
      <w:r w:rsidRPr="007B65A1">
        <w:rPr>
          <w:szCs w:val="28"/>
        </w:rPr>
        <w:t xml:space="preserve"> 6664</w:t>
      </w:r>
      <w:r w:rsidRPr="00CF70FE">
        <w:rPr>
          <w:color w:val="FF0000"/>
          <w:szCs w:val="28"/>
        </w:rPr>
        <w:t xml:space="preserve"> </w:t>
      </w:r>
      <w:r w:rsidRPr="000A4E24">
        <w:rPr>
          <w:color w:val="000000"/>
          <w:szCs w:val="28"/>
        </w:rPr>
        <w:t xml:space="preserve"> человек. В сфере малого  и среднего  предпринимательства задействовано более 51</w:t>
      </w:r>
      <w:r w:rsidR="00CF70FE">
        <w:rPr>
          <w:color w:val="000000"/>
          <w:szCs w:val="28"/>
        </w:rPr>
        <w:t>5</w:t>
      </w:r>
      <w:r w:rsidRPr="000A4E24">
        <w:rPr>
          <w:color w:val="000000"/>
          <w:szCs w:val="28"/>
        </w:rPr>
        <w:t xml:space="preserve"> человек, что составляет около 3% от трудоспособного населения.</w:t>
      </w:r>
    </w:p>
    <w:p w:rsidR="00EE2E6D" w:rsidRDefault="00EE2E6D" w:rsidP="00BB7468">
      <w:pPr>
        <w:jc w:val="both"/>
        <w:rPr>
          <w:color w:val="000000"/>
          <w:szCs w:val="28"/>
        </w:rPr>
      </w:pPr>
    </w:p>
    <w:p w:rsidR="00EE2E6D" w:rsidRPr="000A4E24" w:rsidRDefault="00EE2E6D" w:rsidP="00BB7468">
      <w:pPr>
        <w:jc w:val="both"/>
        <w:rPr>
          <w:color w:val="000000"/>
          <w:szCs w:val="28"/>
        </w:rPr>
      </w:pPr>
    </w:p>
    <w:p w:rsidR="00BB7468" w:rsidRDefault="00BB7468" w:rsidP="00BB7468">
      <w:pPr>
        <w:jc w:val="center"/>
        <w:rPr>
          <w:b/>
          <w:szCs w:val="28"/>
        </w:rPr>
      </w:pPr>
    </w:p>
    <w:p w:rsidR="000A4E24" w:rsidRDefault="000A4E24" w:rsidP="00BB7468">
      <w:pPr>
        <w:jc w:val="center"/>
        <w:rPr>
          <w:b/>
          <w:szCs w:val="28"/>
        </w:rPr>
      </w:pPr>
    </w:p>
    <w:p w:rsidR="000A4E24" w:rsidRPr="000A4E24" w:rsidRDefault="000A4E24" w:rsidP="00BB7468">
      <w:pPr>
        <w:jc w:val="center"/>
        <w:rPr>
          <w:b/>
          <w:szCs w:val="28"/>
        </w:rPr>
      </w:pP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lastRenderedPageBreak/>
        <w:t>2. Демографическая  ситуация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Численность постоянного населения городского поселения «Борзинское» на 01.01.202</w:t>
      </w:r>
      <w:r w:rsidR="00CF70FE">
        <w:rPr>
          <w:szCs w:val="28"/>
        </w:rPr>
        <w:t>1 года составила 29488</w:t>
      </w:r>
      <w:r w:rsidRPr="000A4E24">
        <w:rPr>
          <w:szCs w:val="28"/>
        </w:rPr>
        <w:t xml:space="preserve"> человек, по сравнению с 20</w:t>
      </w:r>
      <w:r w:rsidR="00CF70FE">
        <w:rPr>
          <w:szCs w:val="28"/>
        </w:rPr>
        <w:t>20</w:t>
      </w:r>
      <w:r w:rsidRPr="000A4E24">
        <w:rPr>
          <w:szCs w:val="28"/>
        </w:rPr>
        <w:t xml:space="preserve"> годом </w:t>
      </w:r>
      <w:r w:rsidR="00CF70FE">
        <w:rPr>
          <w:szCs w:val="28"/>
        </w:rPr>
        <w:t>увеличилась на 157</w:t>
      </w:r>
      <w:r w:rsidRPr="000A4E24">
        <w:rPr>
          <w:szCs w:val="28"/>
        </w:rPr>
        <w:t xml:space="preserve"> человек. По прогнозу на 202</w:t>
      </w:r>
      <w:r w:rsidR="00CF70FE">
        <w:rPr>
          <w:szCs w:val="28"/>
        </w:rPr>
        <w:t>4</w:t>
      </w:r>
      <w:r w:rsidRPr="000A4E24">
        <w:rPr>
          <w:szCs w:val="28"/>
        </w:rPr>
        <w:t xml:space="preserve"> год среднегодовая численность населения по городу составит 30,</w:t>
      </w:r>
      <w:r w:rsidR="00CF70FE">
        <w:rPr>
          <w:szCs w:val="28"/>
        </w:rPr>
        <w:t>93</w:t>
      </w:r>
      <w:r w:rsidRPr="000A4E24">
        <w:rPr>
          <w:szCs w:val="28"/>
        </w:rPr>
        <w:t xml:space="preserve"> тыс. человек.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Естественное движение населения носит </w:t>
      </w:r>
      <w:r w:rsidR="00A52DA6">
        <w:rPr>
          <w:szCs w:val="28"/>
        </w:rPr>
        <w:t>отрицательный</w:t>
      </w:r>
      <w:r w:rsidRPr="000A4E24">
        <w:rPr>
          <w:szCs w:val="28"/>
        </w:rPr>
        <w:t xml:space="preserve"> характер. Число </w:t>
      </w:r>
      <w:proofErr w:type="gramStart"/>
      <w:r w:rsidR="00A52DA6">
        <w:rPr>
          <w:szCs w:val="28"/>
        </w:rPr>
        <w:t>умерших</w:t>
      </w:r>
      <w:proofErr w:type="gramEnd"/>
      <w:r w:rsidRPr="000A4E24">
        <w:rPr>
          <w:szCs w:val="28"/>
        </w:rPr>
        <w:t xml:space="preserve"> превысило число </w:t>
      </w:r>
      <w:r w:rsidR="00A52DA6">
        <w:rPr>
          <w:szCs w:val="28"/>
        </w:rPr>
        <w:t>родившихся</w:t>
      </w:r>
      <w:r w:rsidRPr="000A4E24">
        <w:rPr>
          <w:szCs w:val="28"/>
        </w:rPr>
        <w:t xml:space="preserve"> на </w:t>
      </w:r>
      <w:r w:rsidR="00A52DA6" w:rsidRPr="00A52DA6">
        <w:rPr>
          <w:szCs w:val="28"/>
        </w:rPr>
        <w:t>33</w:t>
      </w:r>
      <w:r w:rsidRPr="00A52DA6">
        <w:rPr>
          <w:szCs w:val="28"/>
        </w:rPr>
        <w:t xml:space="preserve"> ч</w:t>
      </w:r>
      <w:r w:rsidRPr="000A4E24">
        <w:rPr>
          <w:szCs w:val="28"/>
        </w:rPr>
        <w:t>еловек</w:t>
      </w:r>
      <w:r w:rsidR="00A52DA6">
        <w:rPr>
          <w:szCs w:val="28"/>
        </w:rPr>
        <w:t>а</w:t>
      </w:r>
      <w:r w:rsidRPr="000A4E24">
        <w:rPr>
          <w:szCs w:val="28"/>
        </w:rPr>
        <w:t xml:space="preserve">. </w:t>
      </w:r>
      <w:r w:rsidR="00A52DA6">
        <w:rPr>
          <w:szCs w:val="28"/>
        </w:rPr>
        <w:t>К</w:t>
      </w:r>
      <w:r w:rsidRPr="000A4E24">
        <w:rPr>
          <w:szCs w:val="28"/>
        </w:rPr>
        <w:t xml:space="preserve">оэффициент смертности остается высоким, что негативно сказывается на общей демографической ситуации. 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Также в формировании демографического потенциала городского поселения большую роль наряду с естественным движением играет и механическое движение  населения (миграция). Так, на протяжении всего рассматриваемого  периода, можно отметить отрицательное значение механического движения населения.  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0A4E24" w:rsidRDefault="00BB7468" w:rsidP="00BB7468">
      <w:pPr>
        <w:ind w:left="-567" w:firstLine="720"/>
        <w:jc w:val="center"/>
        <w:rPr>
          <w:b/>
          <w:szCs w:val="28"/>
        </w:rPr>
      </w:pPr>
      <w:r w:rsidRPr="000A4E24">
        <w:rPr>
          <w:b/>
          <w:szCs w:val="28"/>
        </w:rPr>
        <w:t>3. Производственная сфера городского поселения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 Объем отгруженных товаров собственного производства, выполненных работ и услуг собственными силами  в 202</w:t>
      </w:r>
      <w:r w:rsidR="00CF70FE">
        <w:rPr>
          <w:szCs w:val="28"/>
        </w:rPr>
        <w:t>2 году составит 889,69</w:t>
      </w:r>
      <w:r w:rsidRPr="000A4E24">
        <w:rPr>
          <w:szCs w:val="28"/>
        </w:rPr>
        <w:t xml:space="preserve">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 Темп роста в сопоставимых ценах к уровню предыдущего года состав</w:t>
      </w:r>
      <w:r w:rsidR="00CF70FE">
        <w:rPr>
          <w:szCs w:val="28"/>
        </w:rPr>
        <w:t>ит 107,36</w:t>
      </w:r>
      <w:r w:rsidRPr="000A4E24">
        <w:rPr>
          <w:szCs w:val="28"/>
        </w:rPr>
        <w:t xml:space="preserve"> %. 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A52DA6" w:rsidRDefault="00BB7468" w:rsidP="00BB7468">
      <w:pPr>
        <w:jc w:val="center"/>
        <w:rPr>
          <w:b/>
          <w:szCs w:val="28"/>
        </w:rPr>
      </w:pPr>
      <w:r w:rsidRPr="00A52DA6">
        <w:rPr>
          <w:b/>
          <w:szCs w:val="28"/>
        </w:rPr>
        <w:t>4. Обрабатывающие производства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Обрабатывающие производства в городе представлены предприятиями по производству пищевых продуктов. Общий объем производства продукции в 202</w:t>
      </w:r>
      <w:r w:rsidR="00CF70FE">
        <w:rPr>
          <w:szCs w:val="28"/>
        </w:rPr>
        <w:t>2</w:t>
      </w:r>
      <w:r w:rsidRPr="000A4E24">
        <w:rPr>
          <w:szCs w:val="28"/>
        </w:rPr>
        <w:t xml:space="preserve"> году планируется получить на сумму 41,</w:t>
      </w:r>
      <w:r w:rsidR="00A52DA6">
        <w:rPr>
          <w:szCs w:val="28"/>
        </w:rPr>
        <w:t>29</w:t>
      </w:r>
      <w:r w:rsidRPr="000A4E24">
        <w:rPr>
          <w:szCs w:val="28"/>
        </w:rPr>
        <w:t xml:space="preserve"> млн. рублей. Производством пищевых продуктов занимаются объекты  малого и среднего  предпринимательства (ООО «Молоко», ООО «Пищевик»,  ООО «</w:t>
      </w:r>
      <w:proofErr w:type="spellStart"/>
      <w:r w:rsidRPr="000A4E24">
        <w:rPr>
          <w:szCs w:val="28"/>
        </w:rPr>
        <w:t>Агропромснаб</w:t>
      </w:r>
      <w:proofErr w:type="spellEnd"/>
      <w:r w:rsidRPr="000A4E24">
        <w:rPr>
          <w:szCs w:val="28"/>
        </w:rPr>
        <w:t>», МПК «Борзинский», ГСУСО «Борзинский ДИПИ»</w:t>
      </w:r>
      <w:proofErr w:type="gramStart"/>
      <w:r w:rsidRPr="000A4E24">
        <w:rPr>
          <w:szCs w:val="28"/>
        </w:rPr>
        <w:t>,О</w:t>
      </w:r>
      <w:proofErr w:type="gramEnd"/>
      <w:r w:rsidRPr="000A4E24">
        <w:rPr>
          <w:szCs w:val="28"/>
        </w:rPr>
        <w:t>ОО «</w:t>
      </w:r>
      <w:proofErr w:type="spellStart"/>
      <w:r w:rsidRPr="000A4E24">
        <w:rPr>
          <w:szCs w:val="28"/>
        </w:rPr>
        <w:t>Забайкал-Агро</w:t>
      </w:r>
      <w:proofErr w:type="spellEnd"/>
      <w:r w:rsidRPr="000A4E24">
        <w:rPr>
          <w:szCs w:val="28"/>
        </w:rPr>
        <w:t xml:space="preserve">», ООО «Даурия»,   ИП </w:t>
      </w:r>
      <w:proofErr w:type="spellStart"/>
      <w:r w:rsidRPr="000A4E24">
        <w:rPr>
          <w:szCs w:val="28"/>
        </w:rPr>
        <w:t>Мистель</w:t>
      </w:r>
      <w:proofErr w:type="spellEnd"/>
      <w:r w:rsidRPr="000A4E24">
        <w:rPr>
          <w:szCs w:val="28"/>
        </w:rPr>
        <w:t xml:space="preserve"> М.В., ИП </w:t>
      </w:r>
      <w:proofErr w:type="spellStart"/>
      <w:r w:rsidRPr="000A4E24">
        <w:rPr>
          <w:szCs w:val="28"/>
        </w:rPr>
        <w:t>Ракшаева</w:t>
      </w:r>
      <w:proofErr w:type="spellEnd"/>
      <w:r w:rsidRPr="000A4E24">
        <w:rPr>
          <w:szCs w:val="28"/>
        </w:rPr>
        <w:t xml:space="preserve"> О.Ц., ИП Петросян К.В., ИП </w:t>
      </w:r>
      <w:proofErr w:type="spellStart"/>
      <w:r w:rsidRPr="000A4E24">
        <w:rPr>
          <w:szCs w:val="28"/>
        </w:rPr>
        <w:t>Елгина</w:t>
      </w:r>
      <w:proofErr w:type="spellEnd"/>
      <w:r w:rsidRPr="000A4E24">
        <w:rPr>
          <w:szCs w:val="28"/>
        </w:rPr>
        <w:t xml:space="preserve"> С.В.,  ИП Романова Д.В.,  ИП </w:t>
      </w:r>
      <w:proofErr w:type="spellStart"/>
      <w:r w:rsidRPr="000A4E24">
        <w:rPr>
          <w:szCs w:val="28"/>
        </w:rPr>
        <w:t>Разоков</w:t>
      </w:r>
      <w:proofErr w:type="spellEnd"/>
      <w:r w:rsidRPr="000A4E24">
        <w:rPr>
          <w:szCs w:val="28"/>
        </w:rPr>
        <w:t xml:space="preserve"> Г.Б., ИП Евдокимова А.А., ИП </w:t>
      </w:r>
      <w:proofErr w:type="spellStart"/>
      <w:r w:rsidRPr="000A4E24">
        <w:rPr>
          <w:szCs w:val="28"/>
        </w:rPr>
        <w:t>Латыпов</w:t>
      </w:r>
      <w:r w:rsidR="006E262C">
        <w:rPr>
          <w:szCs w:val="28"/>
        </w:rPr>
        <w:t>а</w:t>
      </w:r>
      <w:proofErr w:type="spellEnd"/>
      <w:r w:rsidRPr="000A4E24">
        <w:rPr>
          <w:szCs w:val="28"/>
        </w:rPr>
        <w:t xml:space="preserve"> И.С., ИП </w:t>
      </w:r>
      <w:proofErr w:type="spellStart"/>
      <w:r w:rsidRPr="000A4E24">
        <w:rPr>
          <w:szCs w:val="28"/>
        </w:rPr>
        <w:t>Сисоян</w:t>
      </w:r>
      <w:proofErr w:type="spellEnd"/>
      <w:r w:rsidRPr="000A4E24">
        <w:rPr>
          <w:szCs w:val="28"/>
        </w:rPr>
        <w:t xml:space="preserve"> А.О., ИП </w:t>
      </w:r>
      <w:proofErr w:type="spellStart"/>
      <w:r w:rsidRPr="000A4E24">
        <w:rPr>
          <w:szCs w:val="28"/>
        </w:rPr>
        <w:t>Савватеева</w:t>
      </w:r>
      <w:proofErr w:type="spellEnd"/>
      <w:r w:rsidRPr="000A4E24">
        <w:rPr>
          <w:szCs w:val="28"/>
        </w:rPr>
        <w:t xml:space="preserve"> О.А., ИП</w:t>
      </w:r>
      <w:r w:rsidR="006E262C">
        <w:rPr>
          <w:szCs w:val="28"/>
        </w:rPr>
        <w:t xml:space="preserve"> Дятлова Е.В., ИП </w:t>
      </w:r>
      <w:proofErr w:type="spellStart"/>
      <w:r w:rsidR="006E262C">
        <w:rPr>
          <w:szCs w:val="28"/>
        </w:rPr>
        <w:t>Абдуллоев</w:t>
      </w:r>
      <w:proofErr w:type="spellEnd"/>
      <w:r w:rsidR="006E262C">
        <w:rPr>
          <w:szCs w:val="28"/>
        </w:rPr>
        <w:t xml:space="preserve"> А.Д, ИП Анькова Т.С.</w:t>
      </w:r>
      <w:r w:rsidRPr="000A4E24">
        <w:rPr>
          <w:szCs w:val="28"/>
        </w:rPr>
        <w:t>).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</w:t>
      </w:r>
    </w:p>
    <w:p w:rsidR="00BB7468" w:rsidRPr="000A4E24" w:rsidRDefault="00BB7468" w:rsidP="00BB7468">
      <w:pPr>
        <w:ind w:left="360"/>
        <w:jc w:val="center"/>
        <w:rPr>
          <w:b/>
          <w:szCs w:val="28"/>
        </w:rPr>
      </w:pPr>
      <w:r w:rsidRPr="000A4E24">
        <w:rPr>
          <w:b/>
          <w:szCs w:val="28"/>
        </w:rPr>
        <w:t xml:space="preserve">5. Обеспечение электрической энергией, газом и паром 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Обеспечение</w:t>
      </w:r>
      <w:r w:rsidRPr="000A4E24">
        <w:rPr>
          <w:b/>
          <w:szCs w:val="28"/>
        </w:rPr>
        <w:t xml:space="preserve"> </w:t>
      </w:r>
      <w:r w:rsidRPr="000A4E24">
        <w:rPr>
          <w:szCs w:val="28"/>
        </w:rPr>
        <w:t>электрической энергией, газом и паром в 202</w:t>
      </w:r>
      <w:r w:rsidR="00A52DA6">
        <w:rPr>
          <w:szCs w:val="28"/>
        </w:rPr>
        <w:t>2</w:t>
      </w:r>
      <w:r w:rsidRPr="000A4E24">
        <w:rPr>
          <w:szCs w:val="28"/>
        </w:rPr>
        <w:t xml:space="preserve"> году прогнозируется  в сумме </w:t>
      </w:r>
      <w:r w:rsidR="00A52DA6">
        <w:rPr>
          <w:szCs w:val="28"/>
        </w:rPr>
        <w:t>825,19</w:t>
      </w:r>
      <w:r w:rsidRPr="000A4E24">
        <w:rPr>
          <w:szCs w:val="28"/>
        </w:rPr>
        <w:t xml:space="preserve"> млн. рублей, что выше  уровня 202</w:t>
      </w:r>
      <w:r w:rsidR="00A52DA6">
        <w:rPr>
          <w:szCs w:val="28"/>
        </w:rPr>
        <w:t>1</w:t>
      </w:r>
      <w:r w:rsidRPr="000A4E24">
        <w:rPr>
          <w:szCs w:val="28"/>
        </w:rPr>
        <w:t xml:space="preserve"> года на </w:t>
      </w:r>
      <w:r w:rsidR="00A52DA6">
        <w:rPr>
          <w:szCs w:val="28"/>
        </w:rPr>
        <w:t>12,85</w:t>
      </w:r>
      <w:r w:rsidRPr="000A4E24">
        <w:rPr>
          <w:szCs w:val="28"/>
        </w:rPr>
        <w:t xml:space="preserve"> %. Водоснабжение, водоотведение, утилизация отходов в 202</w:t>
      </w:r>
      <w:r w:rsidR="00A52DA6">
        <w:rPr>
          <w:szCs w:val="28"/>
        </w:rPr>
        <w:t>2</w:t>
      </w:r>
      <w:r w:rsidRPr="000A4E24">
        <w:rPr>
          <w:szCs w:val="28"/>
        </w:rPr>
        <w:t xml:space="preserve"> году прогнозируется в сумме </w:t>
      </w:r>
      <w:r w:rsidR="00A52DA6">
        <w:rPr>
          <w:szCs w:val="28"/>
        </w:rPr>
        <w:t>59,1</w:t>
      </w:r>
      <w:r w:rsidRPr="000A4E24">
        <w:rPr>
          <w:szCs w:val="28"/>
        </w:rPr>
        <w:t xml:space="preserve"> млн. рублей, что выше  уровн</w:t>
      </w:r>
      <w:r w:rsidR="00A52DA6">
        <w:rPr>
          <w:szCs w:val="28"/>
        </w:rPr>
        <w:t>я</w:t>
      </w:r>
      <w:r w:rsidRPr="000A4E24">
        <w:rPr>
          <w:szCs w:val="28"/>
        </w:rPr>
        <w:t xml:space="preserve"> 202</w:t>
      </w:r>
      <w:r w:rsidR="00A52DA6">
        <w:rPr>
          <w:szCs w:val="28"/>
        </w:rPr>
        <w:t>1</w:t>
      </w:r>
      <w:r w:rsidRPr="000A4E24">
        <w:rPr>
          <w:szCs w:val="28"/>
        </w:rPr>
        <w:t xml:space="preserve"> года на</w:t>
      </w:r>
      <w:r w:rsidR="00A52DA6">
        <w:rPr>
          <w:szCs w:val="28"/>
        </w:rPr>
        <w:t xml:space="preserve">  4,6</w:t>
      </w:r>
      <w:r w:rsidRPr="000A4E24">
        <w:rPr>
          <w:szCs w:val="28"/>
        </w:rPr>
        <w:t>%.</w:t>
      </w:r>
    </w:p>
    <w:p w:rsidR="00BB7468" w:rsidRDefault="00BB7468" w:rsidP="00BB7468">
      <w:pPr>
        <w:jc w:val="both"/>
        <w:rPr>
          <w:szCs w:val="28"/>
        </w:rPr>
      </w:pPr>
    </w:p>
    <w:p w:rsidR="00EE2E6D" w:rsidRDefault="00EE2E6D" w:rsidP="00BB7468">
      <w:pPr>
        <w:jc w:val="both"/>
        <w:rPr>
          <w:szCs w:val="28"/>
        </w:rPr>
      </w:pPr>
    </w:p>
    <w:p w:rsidR="000A4E24" w:rsidRDefault="000A4E24" w:rsidP="00BB7468">
      <w:pPr>
        <w:jc w:val="both"/>
        <w:rPr>
          <w:szCs w:val="28"/>
        </w:rPr>
      </w:pPr>
    </w:p>
    <w:p w:rsidR="00F81C06" w:rsidRDefault="00F81C06" w:rsidP="00BB7468">
      <w:pPr>
        <w:jc w:val="both"/>
        <w:rPr>
          <w:szCs w:val="28"/>
        </w:rPr>
      </w:pPr>
    </w:p>
    <w:p w:rsidR="000A4E24" w:rsidRPr="000A4E24" w:rsidRDefault="000A4E24" w:rsidP="00BB7468">
      <w:pPr>
        <w:jc w:val="both"/>
        <w:rPr>
          <w:szCs w:val="28"/>
        </w:rPr>
      </w:pPr>
    </w:p>
    <w:p w:rsidR="00BB7468" w:rsidRPr="000A4E24" w:rsidRDefault="00BB7468" w:rsidP="00BB7468">
      <w:pPr>
        <w:numPr>
          <w:ilvl w:val="0"/>
          <w:numId w:val="1"/>
        </w:numPr>
        <w:jc w:val="center"/>
        <w:rPr>
          <w:b/>
          <w:szCs w:val="28"/>
        </w:rPr>
      </w:pPr>
      <w:r w:rsidRPr="000A4E24">
        <w:rPr>
          <w:b/>
          <w:szCs w:val="28"/>
        </w:rPr>
        <w:lastRenderedPageBreak/>
        <w:t>Сельское хозяйство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 Валовая продукция сельского хозяйства во всех категориях хозяйств в 202</w:t>
      </w:r>
      <w:r w:rsidR="00A52DA6">
        <w:rPr>
          <w:szCs w:val="28"/>
        </w:rPr>
        <w:t>2</w:t>
      </w:r>
      <w:r w:rsidRPr="000A4E24">
        <w:rPr>
          <w:szCs w:val="28"/>
        </w:rPr>
        <w:t xml:space="preserve"> году составит </w:t>
      </w:r>
      <w:r w:rsidR="00A52DA6">
        <w:rPr>
          <w:szCs w:val="28"/>
        </w:rPr>
        <w:t>93,21</w:t>
      </w:r>
      <w:r w:rsidRPr="000A4E24">
        <w:rPr>
          <w:szCs w:val="28"/>
        </w:rPr>
        <w:t xml:space="preserve">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  Поголовье скота на 01 января 2021 года составило по КРС – 824 головы, овец и коз –1259  головы, лошадей – 96 голов, свиней – 424 головы, птица- 1513 головы.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</w:t>
      </w:r>
    </w:p>
    <w:p w:rsidR="00BB7468" w:rsidRPr="000A4E24" w:rsidRDefault="00BB7468" w:rsidP="00BB7468">
      <w:pPr>
        <w:numPr>
          <w:ilvl w:val="0"/>
          <w:numId w:val="1"/>
        </w:numPr>
        <w:jc w:val="center"/>
        <w:rPr>
          <w:b/>
          <w:szCs w:val="28"/>
        </w:rPr>
      </w:pPr>
      <w:r w:rsidRPr="000A4E24">
        <w:rPr>
          <w:b/>
          <w:szCs w:val="28"/>
        </w:rPr>
        <w:t>Рынок товаров и услуг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Оборот розничной торговли п</w:t>
      </w:r>
      <w:r w:rsidR="00A52DA6">
        <w:rPr>
          <w:szCs w:val="28"/>
        </w:rPr>
        <w:t>редприятий и организац</w:t>
      </w:r>
      <w:r w:rsidR="00534A8F">
        <w:rPr>
          <w:szCs w:val="28"/>
        </w:rPr>
        <w:t>ий  в 2022 году составит 3686,1</w:t>
      </w:r>
      <w:r w:rsidRPr="000A4E24">
        <w:rPr>
          <w:szCs w:val="28"/>
        </w:rPr>
        <w:t xml:space="preserve">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уб., по сравнению с 202</w:t>
      </w:r>
      <w:r w:rsidR="00A52DA6">
        <w:rPr>
          <w:szCs w:val="28"/>
        </w:rPr>
        <w:t>1</w:t>
      </w:r>
      <w:r w:rsidRPr="000A4E24">
        <w:rPr>
          <w:szCs w:val="28"/>
        </w:rPr>
        <w:t xml:space="preserve"> годом увеличится на </w:t>
      </w:r>
      <w:r w:rsidR="00534A8F">
        <w:rPr>
          <w:szCs w:val="28"/>
        </w:rPr>
        <w:t>7,1</w:t>
      </w:r>
      <w:r w:rsidRPr="000A4E24">
        <w:rPr>
          <w:szCs w:val="28"/>
        </w:rPr>
        <w:t>%.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Оборот общественного питания в 202</w:t>
      </w:r>
      <w:r w:rsidR="00A52DA6">
        <w:rPr>
          <w:szCs w:val="28"/>
        </w:rPr>
        <w:t>2</w:t>
      </w:r>
      <w:r w:rsidRPr="000A4E24">
        <w:rPr>
          <w:szCs w:val="28"/>
        </w:rPr>
        <w:t xml:space="preserve"> году составит </w:t>
      </w:r>
      <w:r w:rsidR="00534A8F">
        <w:rPr>
          <w:szCs w:val="28"/>
        </w:rPr>
        <w:t>341,3</w:t>
      </w:r>
      <w:r w:rsidRPr="000A4E24">
        <w:rPr>
          <w:szCs w:val="28"/>
        </w:rPr>
        <w:t xml:space="preserve">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уб., по сравнению с 202</w:t>
      </w:r>
      <w:r w:rsidR="00A52DA6">
        <w:rPr>
          <w:szCs w:val="28"/>
        </w:rPr>
        <w:t>1</w:t>
      </w:r>
      <w:r w:rsidRPr="000A4E24">
        <w:rPr>
          <w:szCs w:val="28"/>
        </w:rPr>
        <w:t xml:space="preserve"> годом увеличится на </w:t>
      </w:r>
      <w:r w:rsidR="00534A8F">
        <w:rPr>
          <w:szCs w:val="28"/>
        </w:rPr>
        <w:t>6,4</w:t>
      </w:r>
      <w:r w:rsidRPr="000A4E24">
        <w:rPr>
          <w:szCs w:val="28"/>
        </w:rPr>
        <w:t>%.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t>8. Малое предпринимательство</w:t>
      </w:r>
    </w:p>
    <w:p w:rsidR="00BB7468" w:rsidRPr="000A4E24" w:rsidRDefault="00BB7468" w:rsidP="00BB7468">
      <w:pPr>
        <w:ind w:firstLine="708"/>
        <w:jc w:val="both"/>
        <w:rPr>
          <w:szCs w:val="28"/>
        </w:rPr>
      </w:pPr>
      <w:r w:rsidRPr="000A4E24">
        <w:rPr>
          <w:szCs w:val="28"/>
        </w:rPr>
        <w:t>Количество малых предприятий на 202</w:t>
      </w:r>
      <w:r w:rsidR="00A52DA6">
        <w:rPr>
          <w:szCs w:val="28"/>
        </w:rPr>
        <w:t>2</w:t>
      </w:r>
      <w:r w:rsidRPr="000A4E24">
        <w:rPr>
          <w:szCs w:val="28"/>
        </w:rPr>
        <w:t xml:space="preserve"> год прогнозируется в количестве </w:t>
      </w:r>
      <w:r w:rsidR="00403D40">
        <w:rPr>
          <w:szCs w:val="28"/>
        </w:rPr>
        <w:t>11</w:t>
      </w:r>
      <w:r w:rsidRPr="000A4E24">
        <w:rPr>
          <w:szCs w:val="28"/>
        </w:rPr>
        <w:t xml:space="preserve"> единиц. Среднесписочная численность работников субъектов малого и среднего предпринимательства </w:t>
      </w:r>
      <w:r w:rsidRPr="00403D40">
        <w:rPr>
          <w:szCs w:val="28"/>
        </w:rPr>
        <w:t>составит 51</w:t>
      </w:r>
      <w:r w:rsidR="00A52DA6" w:rsidRPr="00403D40">
        <w:rPr>
          <w:szCs w:val="28"/>
        </w:rPr>
        <w:t>5</w:t>
      </w:r>
      <w:r w:rsidRPr="000A4E24">
        <w:rPr>
          <w:szCs w:val="28"/>
        </w:rPr>
        <w:t xml:space="preserve"> человек, </w:t>
      </w:r>
      <w:r w:rsidR="00A52DA6">
        <w:rPr>
          <w:szCs w:val="28"/>
        </w:rPr>
        <w:t xml:space="preserve">почти </w:t>
      </w:r>
      <w:r w:rsidRPr="000A4E24">
        <w:rPr>
          <w:szCs w:val="28"/>
        </w:rPr>
        <w:t>на уровне предыдущего года. Наибольший удельный вес в общем объеме производства малого и среднего предпринимательства займут предприятия  торговли и оказания услуг.</w:t>
      </w:r>
    </w:p>
    <w:p w:rsidR="00BB7468" w:rsidRPr="000A4E24" w:rsidRDefault="00BB7468" w:rsidP="00BB7468">
      <w:pPr>
        <w:ind w:firstLine="708"/>
        <w:jc w:val="both"/>
        <w:rPr>
          <w:szCs w:val="28"/>
        </w:rPr>
      </w:pP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t>9. Инвестиции и строительство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 Объем инвестиций в основной капитал  за счет всех источников финансирования  в 202</w:t>
      </w:r>
      <w:r w:rsidR="00A52DA6">
        <w:rPr>
          <w:szCs w:val="28"/>
        </w:rPr>
        <w:t>2</w:t>
      </w:r>
      <w:r w:rsidRPr="000A4E24">
        <w:rPr>
          <w:szCs w:val="28"/>
        </w:rPr>
        <w:t xml:space="preserve"> году составит 1,1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 xml:space="preserve">уб., </w:t>
      </w:r>
      <w:r w:rsidR="00A52DA6">
        <w:rPr>
          <w:szCs w:val="28"/>
        </w:rPr>
        <w:t>на уровне прошлого года.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0A4E24" w:rsidRDefault="00BB7468" w:rsidP="00BB7468">
      <w:pPr>
        <w:ind w:firstLine="708"/>
        <w:rPr>
          <w:b/>
          <w:szCs w:val="28"/>
        </w:rPr>
      </w:pPr>
      <w:r w:rsidRPr="000A4E24">
        <w:rPr>
          <w:b/>
          <w:szCs w:val="28"/>
        </w:rPr>
        <w:t xml:space="preserve">                              10. Заключение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В целях развития экономики на перспективу ведется работа по созданию новых КФХ и регистрации индивидуальных предпринимателей в различных сферах деятельности.</w:t>
      </w:r>
    </w:p>
    <w:p w:rsidR="00BB7468" w:rsidRPr="000A4E24" w:rsidRDefault="00BB7468" w:rsidP="00BB7468">
      <w:pPr>
        <w:ind w:firstLine="708"/>
        <w:jc w:val="both"/>
        <w:rPr>
          <w:szCs w:val="28"/>
        </w:rPr>
      </w:pPr>
      <w:r w:rsidRPr="000A4E24">
        <w:rPr>
          <w:szCs w:val="28"/>
        </w:rPr>
        <w:t>На территории города реализуется</w:t>
      </w:r>
      <w:r w:rsidR="003E597E" w:rsidRPr="000A4E24">
        <w:rPr>
          <w:szCs w:val="28"/>
        </w:rPr>
        <w:t xml:space="preserve"> </w:t>
      </w:r>
      <w:r w:rsidR="009C6A02" w:rsidRPr="009C6A02">
        <w:rPr>
          <w:szCs w:val="28"/>
        </w:rPr>
        <w:t>10</w:t>
      </w:r>
      <w:r w:rsidRPr="000A4E24">
        <w:rPr>
          <w:szCs w:val="28"/>
        </w:rPr>
        <w:t xml:space="preserve"> муниципальных программ, город участвует в реализации федеральных и краевых программ на условиях </w:t>
      </w:r>
      <w:proofErr w:type="spellStart"/>
      <w:r w:rsidRPr="000A4E24">
        <w:rPr>
          <w:szCs w:val="28"/>
        </w:rPr>
        <w:t>софинансирования</w:t>
      </w:r>
      <w:proofErr w:type="spellEnd"/>
      <w:r w:rsidRPr="000A4E24">
        <w:rPr>
          <w:szCs w:val="28"/>
        </w:rPr>
        <w:t>.</w:t>
      </w:r>
    </w:p>
    <w:p w:rsidR="00BB7468" w:rsidRPr="000A4E24" w:rsidRDefault="00BB7468" w:rsidP="00BB7468">
      <w:pPr>
        <w:rPr>
          <w:szCs w:val="28"/>
        </w:rPr>
      </w:pPr>
    </w:p>
    <w:p w:rsidR="00180CC5" w:rsidRPr="000A4E24" w:rsidRDefault="00180CC5" w:rsidP="00180CC5">
      <w:pPr>
        <w:rPr>
          <w:szCs w:val="28"/>
        </w:rPr>
      </w:pPr>
    </w:p>
    <w:p w:rsidR="00314336" w:rsidRPr="000A4E24" w:rsidRDefault="00314336">
      <w:pPr>
        <w:rPr>
          <w:szCs w:val="28"/>
        </w:rPr>
      </w:pPr>
    </w:p>
    <w:sectPr w:rsidR="00314336" w:rsidRPr="000A4E24" w:rsidSect="00BB74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37" w:rsidRDefault="00687D37" w:rsidP="00BB7468">
      <w:r>
        <w:separator/>
      </w:r>
    </w:p>
  </w:endnote>
  <w:endnote w:type="continuationSeparator" w:id="0">
    <w:p w:rsidR="00687D37" w:rsidRDefault="00687D37" w:rsidP="00BB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37" w:rsidRDefault="00687D37" w:rsidP="00BB7468">
      <w:r>
        <w:separator/>
      </w:r>
    </w:p>
  </w:footnote>
  <w:footnote w:type="continuationSeparator" w:id="0">
    <w:p w:rsidR="00687D37" w:rsidRDefault="00687D37" w:rsidP="00BB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557"/>
      <w:docPartObj>
        <w:docPartGallery w:val="Page Numbers (Top of Page)"/>
        <w:docPartUnique/>
      </w:docPartObj>
    </w:sdtPr>
    <w:sdtContent>
      <w:p w:rsidR="00CF70FE" w:rsidRDefault="005968FC">
        <w:pPr>
          <w:pStyle w:val="a4"/>
          <w:jc w:val="center"/>
        </w:pPr>
        <w:fldSimple w:instr=" PAGE   \* MERGEFORMAT ">
          <w:r w:rsidR="00C030BF">
            <w:rPr>
              <w:noProof/>
            </w:rPr>
            <w:t>7</w:t>
          </w:r>
        </w:fldSimple>
      </w:p>
    </w:sdtContent>
  </w:sdt>
  <w:p w:rsidR="00CF70FE" w:rsidRDefault="00CF70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1F45"/>
    <w:multiLevelType w:val="hybridMultilevel"/>
    <w:tmpl w:val="56D8FC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D00"/>
    <w:rsid w:val="00023FAF"/>
    <w:rsid w:val="0002698B"/>
    <w:rsid w:val="000A0874"/>
    <w:rsid w:val="000A4E24"/>
    <w:rsid w:val="000B5DD1"/>
    <w:rsid w:val="000C6E3D"/>
    <w:rsid w:val="00180CC5"/>
    <w:rsid w:val="001D0EEE"/>
    <w:rsid w:val="00216444"/>
    <w:rsid w:val="002849F0"/>
    <w:rsid w:val="002D2FF2"/>
    <w:rsid w:val="0031044A"/>
    <w:rsid w:val="00313623"/>
    <w:rsid w:val="00314336"/>
    <w:rsid w:val="0036343C"/>
    <w:rsid w:val="00394AF1"/>
    <w:rsid w:val="003E597E"/>
    <w:rsid w:val="00403D40"/>
    <w:rsid w:val="00426A5E"/>
    <w:rsid w:val="00444803"/>
    <w:rsid w:val="004B2738"/>
    <w:rsid w:val="004B3F5A"/>
    <w:rsid w:val="004B73EE"/>
    <w:rsid w:val="004C1737"/>
    <w:rsid w:val="004C69EE"/>
    <w:rsid w:val="0052291F"/>
    <w:rsid w:val="00534A8F"/>
    <w:rsid w:val="00564B52"/>
    <w:rsid w:val="0058760C"/>
    <w:rsid w:val="005968FC"/>
    <w:rsid w:val="005C37AA"/>
    <w:rsid w:val="005F04DB"/>
    <w:rsid w:val="005F478D"/>
    <w:rsid w:val="00642D22"/>
    <w:rsid w:val="00662089"/>
    <w:rsid w:val="00687D37"/>
    <w:rsid w:val="006E253A"/>
    <w:rsid w:val="006E262C"/>
    <w:rsid w:val="007B65A1"/>
    <w:rsid w:val="007F2D00"/>
    <w:rsid w:val="00806A61"/>
    <w:rsid w:val="008133E9"/>
    <w:rsid w:val="008329E0"/>
    <w:rsid w:val="00883CEB"/>
    <w:rsid w:val="0089652B"/>
    <w:rsid w:val="008B0551"/>
    <w:rsid w:val="0091130B"/>
    <w:rsid w:val="00913907"/>
    <w:rsid w:val="00951CA5"/>
    <w:rsid w:val="00956EF0"/>
    <w:rsid w:val="00986F0C"/>
    <w:rsid w:val="00993234"/>
    <w:rsid w:val="009C6A02"/>
    <w:rsid w:val="009C7374"/>
    <w:rsid w:val="00A27894"/>
    <w:rsid w:val="00A52DA6"/>
    <w:rsid w:val="00AE50BE"/>
    <w:rsid w:val="00AF40A0"/>
    <w:rsid w:val="00AF43AF"/>
    <w:rsid w:val="00BB7468"/>
    <w:rsid w:val="00BB76A2"/>
    <w:rsid w:val="00BD5CE6"/>
    <w:rsid w:val="00BE158B"/>
    <w:rsid w:val="00C030BF"/>
    <w:rsid w:val="00C5014E"/>
    <w:rsid w:val="00CF70FE"/>
    <w:rsid w:val="00D53C91"/>
    <w:rsid w:val="00D57CE2"/>
    <w:rsid w:val="00D67FBE"/>
    <w:rsid w:val="00DA0807"/>
    <w:rsid w:val="00DB4749"/>
    <w:rsid w:val="00E25F46"/>
    <w:rsid w:val="00E76541"/>
    <w:rsid w:val="00EB1AA6"/>
    <w:rsid w:val="00EC6677"/>
    <w:rsid w:val="00EE2E6D"/>
    <w:rsid w:val="00EE339C"/>
    <w:rsid w:val="00F217D5"/>
    <w:rsid w:val="00F81C06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0C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B7468"/>
  </w:style>
  <w:style w:type="paragraph" w:styleId="a4">
    <w:name w:val="header"/>
    <w:basedOn w:val="a"/>
    <w:link w:val="a5"/>
    <w:uiPriority w:val="99"/>
    <w:unhideWhenUsed/>
    <w:rsid w:val="00BB7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7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7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74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BC591BF-1B1F-45C9-90BB-7B700010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9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ekonomADM</cp:lastModifiedBy>
  <cp:revision>15</cp:revision>
  <cp:lastPrinted>2021-07-09T06:41:00Z</cp:lastPrinted>
  <dcterms:created xsi:type="dcterms:W3CDTF">2021-06-21T02:31:00Z</dcterms:created>
  <dcterms:modified xsi:type="dcterms:W3CDTF">2021-07-12T05:08:00Z</dcterms:modified>
</cp:coreProperties>
</file>